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DB4101" w14:textId="29542EA7" w:rsidR="00DD7F2D" w:rsidRPr="00054C12" w:rsidRDefault="00054C12" w:rsidP="00054C12">
      <w:pPr>
        <w:pStyle w:val="Nagwek1"/>
        <w:ind w:firstLine="10490"/>
        <w:rPr>
          <w:bCs w:val="0"/>
          <w:sz w:val="22"/>
          <w:szCs w:val="22"/>
        </w:rPr>
      </w:pPr>
      <w:r w:rsidRPr="00054C12">
        <w:rPr>
          <w:bCs w:val="0"/>
          <w:i/>
          <w:color w:val="2F5496"/>
          <w:sz w:val="22"/>
          <w:szCs w:val="22"/>
        </w:rPr>
        <w:t>Załącznik nr 2 do SWZ</w:t>
      </w:r>
    </w:p>
    <w:p w14:paraId="78CE173B" w14:textId="0C53C5E3" w:rsidR="00D37A65" w:rsidRPr="00DD7F2D" w:rsidRDefault="00000000" w:rsidP="00DD7F2D">
      <w:pPr>
        <w:pStyle w:val="Nagwek1"/>
        <w:jc w:val="center"/>
        <w:rPr>
          <w:sz w:val="22"/>
          <w:szCs w:val="22"/>
        </w:rPr>
      </w:pPr>
      <w:r w:rsidRPr="00DD7F2D">
        <w:rPr>
          <w:sz w:val="22"/>
          <w:szCs w:val="22"/>
        </w:rPr>
        <w:t>SZCZEGÓŁOWA TABELA ZGODNOŚCI TECHNICZNEJ (1:1 Z PFU V12)</w:t>
      </w:r>
    </w:p>
    <w:p w14:paraId="155E3988" w14:textId="3DC24327" w:rsidR="00D37A65" w:rsidRPr="00DD7F2D" w:rsidRDefault="00000000" w:rsidP="00DD7F2D">
      <w:pPr>
        <w:pStyle w:val="Nagwek2"/>
        <w:spacing w:before="0"/>
        <w:jc w:val="center"/>
        <w:rPr>
          <w:sz w:val="22"/>
          <w:szCs w:val="22"/>
        </w:rPr>
      </w:pPr>
      <w:r w:rsidRPr="00DD7F2D">
        <w:rPr>
          <w:sz w:val="22"/>
          <w:szCs w:val="22"/>
        </w:rPr>
        <w:t xml:space="preserve">Wrocławskie Mobilne Centrum Informacji (WMCI) w trybie „Zaprojektuj i </w:t>
      </w:r>
      <w:r w:rsidR="00C40193">
        <w:rPr>
          <w:sz w:val="22"/>
          <w:szCs w:val="22"/>
        </w:rPr>
        <w:t>dostarcz</w:t>
      </w:r>
      <w:r w:rsidRPr="00DD7F2D">
        <w:rPr>
          <w:sz w:val="22"/>
          <w:szCs w:val="22"/>
        </w:rPr>
        <w:t>”</w:t>
      </w:r>
    </w:p>
    <w:p w14:paraId="1AE52AC2" w14:textId="195E03DF" w:rsidR="00DD7F2D" w:rsidRPr="00DD7F2D" w:rsidRDefault="00000000" w:rsidP="00DD7F2D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</w:pPr>
      <w:r w:rsidRPr="00DD7F2D">
        <w:rPr>
          <w:b/>
          <w:bCs/>
        </w:rPr>
        <w:t>Instrukcja dla Wykonawcy:</w:t>
      </w:r>
      <w:r w:rsidRPr="00DD7F2D">
        <w:t xml:space="preserve"> </w:t>
      </w:r>
      <w:r w:rsidR="008D12EB">
        <w:t>Wykonawca zobowiązany jest do wypełnienia kolumny „Parametr oferowany przez Wykonawcę" osobno dla każdego wiersza. Łączenie parametrów lub pozostawienie pustych komórek jest niedozwolone i skutkuje odrzuceniem oferty. W przypadku rozbieżności pomiędzy wartością parametru wskazaną w niniejszej Tabeli a wartością zadeklarowaną w Formularzu Oferty, wiążąca jest wartość z Formularza Oferty (dotyczy w szczególności parametrów ocenianych w kryteriach — TR, GZ, GP — oraz pojemności banku energii).</w:t>
      </w:r>
    </w:p>
    <w:tbl>
      <w:tblPr>
        <w:tblStyle w:val="a"/>
        <w:tblW w:w="1404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6"/>
        <w:gridCol w:w="2394"/>
        <w:gridCol w:w="710"/>
        <w:gridCol w:w="4380"/>
        <w:gridCol w:w="5640"/>
      </w:tblGrid>
      <w:tr w:rsidR="00D37A65" w14:paraId="3D1F6743" w14:textId="77777777" w:rsidTr="00C23B37">
        <w:trPr>
          <w:tblHeader/>
        </w:trPr>
        <w:tc>
          <w:tcPr>
            <w:tcW w:w="916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A93A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2394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9FCD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Element wyposażenia / Parametr</w:t>
            </w:r>
          </w:p>
        </w:tc>
        <w:tc>
          <w:tcPr>
            <w:tcW w:w="710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94F0E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Typ</w:t>
            </w:r>
          </w:p>
        </w:tc>
        <w:tc>
          <w:tcPr>
            <w:tcW w:w="4380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EB6C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Szczegółowe wymagania Zamawiającego (Zgodnie z PFU v12)</w:t>
            </w:r>
          </w:p>
        </w:tc>
        <w:tc>
          <w:tcPr>
            <w:tcW w:w="5640" w:type="dxa"/>
            <w:shd w:val="clear" w:color="auto" w:fill="00336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B4BB4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Parametr oferowany przez Wykonawcę</w:t>
            </w:r>
          </w:p>
          <w:p w14:paraId="0D8186D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37A65" w14:paraId="1D4A9C9D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94EC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E10A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Podstawowe parametry podwozia</w:t>
            </w:r>
          </w:p>
        </w:tc>
      </w:tr>
      <w:tr w:rsidR="00D37A65" w14:paraId="59B6A38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706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6BAA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 i rok produkcji pojazdu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10C4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F03A55" w14:textId="2630F698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Pojazd fabrycznie nowy, nieużywany</w:t>
            </w:r>
            <w:r w:rsidR="0079054E">
              <w:t xml:space="preserve"> </w:t>
            </w:r>
            <w:r w:rsidR="0079054E" w:rsidRPr="0079054E">
              <w:rPr>
                <w:sz w:val="20"/>
                <w:szCs w:val="20"/>
              </w:rPr>
              <w:t>Rok produkcji nie wcześniej niż 2026, bez przebiegu.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FAC07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1F9ED20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BFCA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997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DMC – Dopuszczalna Masa Całkowita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4C4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220B2" w14:textId="5EAA0DC5" w:rsidR="00D37A65" w:rsidRDefault="00790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79054E">
              <w:rPr>
                <w:sz w:val="20"/>
                <w:szCs w:val="20"/>
              </w:rPr>
              <w:t>Podwozie z kabiną (chassis-</w:t>
            </w:r>
            <w:proofErr w:type="spellStart"/>
            <w:r w:rsidRPr="0079054E">
              <w:rPr>
                <w:sz w:val="20"/>
                <w:szCs w:val="20"/>
              </w:rPr>
              <w:t>cab</w:t>
            </w:r>
            <w:proofErr w:type="spellEnd"/>
            <w:r w:rsidRPr="0079054E">
              <w:rPr>
                <w:sz w:val="20"/>
                <w:szCs w:val="20"/>
              </w:rPr>
              <w:t>) fabrycznie przystosowane do montażu zabudowy specjalnej. Typ konstrukcji podwozia dobiera Wykonawca, pod warunkiem zachowania wszystkich parametrów wymiarowych i masowych określonych w PFU v12, w szczególności maksymalnej efektywnej wysokości podłogi zabudowy wynoszącej 770 mm (pkt 2.1 i 5.4).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ACF32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57ACA5B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0ABBE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D7F1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Silnik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50E3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2245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Wysokoprężny (Diesel), moc min. 120 KM. Norma emisji spalin min. Euro 6.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BF144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09472C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1CC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038EC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Skrzynia biegów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89702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FD4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Manualna, min. 6-stopniowa.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AC8C7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E290A1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0387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F9F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Kabina kierowcy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6507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EBA3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3-osobowa (kierowca + 2 operatorów). Klimatyzacja fabryczna.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E07D0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4B19F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744BE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909D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 własna pojazdu bazowego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088C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145B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1 800 kg - 2 000 kg.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02AA4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244515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2F1C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3.1.7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680E1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Zawieszenie i alternator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073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645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Zawieszenie tylne wzmocnione fabrycznie. Alternator o podwyższonej wydajności, min. 180 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EF600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53EB385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F29F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D8F51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Wymiary zewnętrzne pojazdu z zabudową</w:t>
            </w:r>
          </w:p>
        </w:tc>
      </w:tr>
      <w:tr w:rsidR="00D37A65" w14:paraId="7974B55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79B21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B1B5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bez lusterek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83DB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B3F8B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2 300 mm – 2 400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91B2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423D46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5D87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196D9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z lusterkami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8E62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74BCA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2 350 mm – 2 750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5A41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46C98C0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983E0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9128E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osi przedniej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AF7E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4B4E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1 750 mm – 1 850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7BE77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B610100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2CDE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65C1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osi tylnej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82F2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F5DC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dopuszczalny: 1 750 mm – 1 850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1D26A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676F45E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7054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66F4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Rozstaw osi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403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BDBFF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dopuszczalny 3 900 mm - 4 300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7B0B8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64CE80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8993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543B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Wyposażenie mechaniczne podwozia</w:t>
            </w:r>
          </w:p>
        </w:tc>
      </w:tr>
      <w:tr w:rsidR="00D37A65" w14:paraId="401F3A6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52F5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A958E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Lusterka zewnętrzne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C5681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364A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długich ramionach dostosowanych do poszerzonej zabudowy kontenerowej. Konstrukcja dwudzielna: lustro główne oraz dodatkowe lustro sferyczne (szerokokątne) w dolnej sekcji, eliminujące martwe pole.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D74FD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7AEB5E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117EC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3A6D7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Ogumienie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85624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1798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Klasa B wg etykiety UE (przyczepność </w:t>
            </w:r>
            <w:proofErr w:type="gramStart"/>
            <w:r>
              <w:rPr>
                <w:sz w:val="20"/>
                <w:szCs w:val="20"/>
              </w:rPr>
              <w:lastRenderedPageBreak/>
              <w:t>hamowania  na</w:t>
            </w:r>
            <w:proofErr w:type="gramEnd"/>
            <w:r>
              <w:rPr>
                <w:sz w:val="20"/>
                <w:szCs w:val="20"/>
              </w:rPr>
              <w:t xml:space="preserve"> mokrej nawierzchni).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4FCE6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D28E38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8694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FEA3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Szyby przednie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E24F8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119E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Elektrycznie sterowane.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B423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53815D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AE2C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058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Lusterka boczne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88C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91AF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Elektrycznie regulowane i podgrzewane.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C33B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81600CD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A9F1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C0D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Radioodbiornik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C8E16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7C3E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min. 2 głośnikami zintegrowanymi z kabiną. Łączność Bluetooth (profil A2DP i HFP).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71E2C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10BA8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992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F017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Hak holowniczy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D3F9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0578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dopuszczalna masa ciągnięta: 2 000 kg. Wykonawca wskazuje parametry.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E7FE3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60550E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FD2F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3.3.7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DDEB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1] Tachograf cyfrowy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A0AB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E1109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Tachograf cyfrowy homologowany zgodnie z rozporządzeniem (UE) nr 165/2014, zainstalowany fabrycznie lub przez autoryzowany serwis. Wykonawca wskazuje typ urządzenia i podaje wpływ na DMC.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4653B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4BBEC3E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FD1F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A9C3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Podpory stabilizacyjne podwozia na czas rozłożonego podestu</w:t>
            </w:r>
          </w:p>
        </w:tc>
      </w:tr>
      <w:tr w:rsidR="00D37A65" w14:paraId="5F622CCB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62DB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93E9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i typ podpór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70B9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FD8E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podpory mechaniczne (wykręcane), montowane do ramy podwozia in tylnej części pojazdu.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819C9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7C40BE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D47F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9E3E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Cyfrowy asystent poziomowania (Bluetooth)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C3F25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3554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 </w:t>
            </w:r>
            <w:proofErr w:type="spellStart"/>
            <w:r>
              <w:rPr>
                <w:sz w:val="20"/>
                <w:szCs w:val="20"/>
              </w:rPr>
              <w:t>CaraTech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EasyLevel</w:t>
            </w:r>
            <w:proofErr w:type="spellEnd"/>
            <w:r>
              <w:rPr>
                <w:sz w:val="20"/>
                <w:szCs w:val="20"/>
              </w:rPr>
              <w:t xml:space="preserve"> lub równoważny. Precyzyjny sensor cyfrowy montowany na stałe w pojeździe, przesyłający w czasie rzeczywistym dane o poziomie (osi podłużnej i poprzecznej) do aplikacji mobilnej (Android/iOS) przez Bluetooth. Musi </w:t>
            </w:r>
            <w:r>
              <w:rPr>
                <w:sz w:val="20"/>
                <w:szCs w:val="20"/>
              </w:rPr>
              <w:lastRenderedPageBreak/>
              <w:t>umożliwiać kalibrację „punktu zerowego” po zabudowie i zapewniać precyzyjny feedback wizualny na smartfonie/tablecie operatora.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01B68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974FF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0A1D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0843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Optymalizacja stabilności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05E0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54F5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w projekcie koncepcyjnym określa docelową liczbę i rozmieszczenie podpór (min. 2), gwarantującą pełną stabilność pojazdu przy rozłożonym podeście bocznym oraz otwartej klapie tylnej.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4120E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3AEBE4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E4D7E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3CADB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podpór wariantu podstawowego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005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4BE45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Ręczna za pomocą dedykowanej korby. Konstrukcja umożliwiająca szybkie opuszczenie i zablokowanie.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3A71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801268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C6933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A94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2] System podpór sterowanych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48A5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B87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Zastąpienie podpór mechanicznych systemem siłowników elektrycznych lub hydraulicznych sterowanych z pilota lub panelu. Wykonawca dobiera optymalny sposób zasilania systemu.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4AF0B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A73C177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2FA3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9A377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3] Zaawansowany system wspierający poziomowanie Auto-</w:t>
            </w:r>
            <w:proofErr w:type="spellStart"/>
            <w:r>
              <w:rPr>
                <w:sz w:val="20"/>
                <w:szCs w:val="20"/>
              </w:rPr>
              <w:t>Leveling</w:t>
            </w:r>
            <w:proofErr w:type="spellEnd"/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DC7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D98E2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Samodzielny system: Zastąpienie podpór mechanicznych siłownikami zintegrowanymi z modułem pełnej automatyzacji poziomu (jedno przyciśnięcie). System samoczynnie koryguje przechyły.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EEE2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8A1ACA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D19D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3.4.7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9590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Sygnalizacja i bezpieczeństwo podpór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D632E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6BBA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Niezależnie od wybranego systemu: wizualne/dźwiękowe ostrzeżenie w kabinie kierowcy o rozłożonych podporach, uniemożliwiające przypadkowe ruszenie pojazdem.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CB75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A6C7EF3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68DFF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655B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Kamery zewnętrzne manewrowe i czujniki</w:t>
            </w:r>
          </w:p>
        </w:tc>
      </w:tr>
      <w:tr w:rsidR="00D37A65" w14:paraId="4A3127C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F124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7D44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Kamery zewnętrzne manewrowe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8BA9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DAE42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kamery zewnętrzne (przód, tył, lewa, prawa) z widokiem łączonym lub przełączanym, obsługiwane z niezależnego monitora LCD min. 10" w szoferce. Odporne na warunki zewnętrzne: woda, kurz, drgania, zmienne temperatury.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6FC04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C5AB9A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D00D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9E276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Kamera cofania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A096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27D2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obrazem w kabinie kierowcy. Automatyczne przełączanie przy biegu wstecznym.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B5967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BAA3F2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06A9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5634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Ręczny wybór widoku kamer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37E9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FF98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Możliwość ręcznego wyboru dowolnej kamery przez użytkownika.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8F332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206805A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4588C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9DB4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Czujniki parkowania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2199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4838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Przednie i tylne, sygnalizacja akustyczna i wizualna.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36EBF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D6CE6FF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6C3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CB8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Rejestrator jazdy</w:t>
            </w:r>
          </w:p>
        </w:tc>
      </w:tr>
      <w:tr w:rsidR="00D37A65" w14:paraId="0CFA1389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E6812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692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Wideorejestrator</w:t>
            </w:r>
            <w:proofErr w:type="spellEnd"/>
            <w:r>
              <w:rPr>
                <w:sz w:val="20"/>
                <w:szCs w:val="20"/>
              </w:rPr>
              <w:t xml:space="preserve"> lokalizacja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61516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D24B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Dwukanałowy (przód i tył), Full HD (1920×1080). Zamontowany w kabinie, automatyczna aktywacja przy uruchomieniu pojazdu.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F5D50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762862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C25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D1B6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Nośnik zapisu rejestratora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52644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DB8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</w:t>
            </w:r>
            <w:proofErr w:type="spellStart"/>
            <w:r>
              <w:rPr>
                <w:sz w:val="20"/>
                <w:szCs w:val="20"/>
              </w:rPr>
              <w:t>microSD</w:t>
            </w:r>
            <w:proofErr w:type="spellEnd"/>
            <w:r>
              <w:rPr>
                <w:sz w:val="20"/>
                <w:szCs w:val="20"/>
              </w:rPr>
              <w:t xml:space="preserve"> lub równoważna, min. 256 GB. Nadpisywanie najstarszych nagrań w trybie pętli.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F1915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B9FDD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C0AF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076F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Rejestracja parametrów GPS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5B66B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7FACB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Data, czas i współrzędne GPS nanoszone na nagranie.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1160C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5A2F24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4C1B9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CC2F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Czujnik przeciążeń G-sensor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3B973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24CAB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Czujnik przeciążeń – automatyczne zabezpieczenie nagrania przy kolizji lub gwałtownym hamowaniu.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82592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066CA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46D3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4EF3B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rejestratora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926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75CC1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drgania i zmienne temperatury w warunkach eksploatacji pojazdu specjalnego.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2484C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EA3B0F6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8342D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A936A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System </w:t>
            </w:r>
            <w:proofErr w:type="spellStart"/>
            <w:r>
              <w:rPr>
                <w:b/>
                <w:bCs/>
                <w:sz w:val="20"/>
                <w:szCs w:val="20"/>
              </w:rPr>
              <w:t>telematyczny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GPS</w:t>
            </w:r>
          </w:p>
        </w:tc>
      </w:tr>
      <w:tr w:rsidR="00D37A65" w14:paraId="3B8B063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C8C1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C59FC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Nadajnik GPS funkcje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8EA17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D4C0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Zdalny nadzór w czasie rzeczywistym: lokalizacja, prędkość, poziom paliwa, przebieg, historia tras i postojów.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D77AB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C1DB10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7A0F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B7187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Dostęp do platformy </w:t>
            </w:r>
            <w:proofErr w:type="spellStart"/>
            <w:r>
              <w:rPr>
                <w:sz w:val="20"/>
                <w:szCs w:val="20"/>
              </w:rPr>
              <w:t>telematycznej</w:t>
            </w:r>
            <w:proofErr w:type="spellEnd"/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259C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C261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Panel webowy lub aplikacja mobilna. Dostęp zawarty w cenie przez min. 24 miesiące od daty odbioru.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3E8D5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D3AF85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FDCA1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3E56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Infrastruktura serwerowa GPS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7EDDA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0AA07E" w14:textId="6450A959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Wyłącznie na terenie EOG. Wymóg zgodności z RODO. </w:t>
            </w:r>
            <w:r w:rsidR="0068785E" w:rsidRPr="0068785E">
              <w:rPr>
                <w:sz w:val="20"/>
                <w:szCs w:val="20"/>
              </w:rPr>
              <w:t>Wykonawca potwierdza lokalizację serwerów na terenie EOG w niniejszej Tabeli, a szczegółowe wskazanie dostawcy platformy i lokalizacji serwerów przedstawia w projekcie koncepcyjnym (Etap I)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BBE48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C4E490A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551D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4E55A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Prywatność obrazu kamer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94B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18FB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Kamery manewrowe nie rejestrują ani nie przesyłają obrazu na zewnątrz pojazdu – służą wyłącznie wspomaganiu manewrowania w czasie rzeczywistym.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72345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20CDDD0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54EC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F881D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Zasilanie modułu GPS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9AAC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38C1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instalacji pojazdu, praca ciągła bez ingerencji operatora.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5B6A6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BCD83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A62E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4.3.6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520E3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Powiadomienia telemetryczne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F6F15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94C53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przekroczeniu parametrów: prędkość, strefa geograficzna, czas pracy.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5F5E9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B019554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BF9E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30A3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Technologia ścian i dachu kontenera</w:t>
            </w:r>
          </w:p>
        </w:tc>
      </w:tr>
      <w:tr w:rsidR="00D37A65" w14:paraId="01659ADB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CA82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FDFB5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Materiał ścian i dachu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9FF5F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AC22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Płyty warstwowe typu sandwich z rdzeniem izolacyjnym, grubość minimalna 23 mm. Materiał rdzenia: pianka XPS, PU lub inny materiał izolacyjny dopuszczony do zastosowań w zabudowach mobilnych i </w:t>
            </w:r>
            <w:proofErr w:type="spellStart"/>
            <w:r>
              <w:rPr>
                <w:sz w:val="20"/>
                <w:szCs w:val="20"/>
              </w:rPr>
              <w:t>pojadzach</w:t>
            </w:r>
            <w:proofErr w:type="spellEnd"/>
            <w:r>
              <w:rPr>
                <w:sz w:val="20"/>
                <w:szCs w:val="20"/>
              </w:rPr>
              <w:t xml:space="preserve"> specjalnych. Poszycie zewnętrzne i wewnętrzne z gładkiego, zmywalnego laminatu poliestrowo-szklanego wykończenie półmat lub połysk. Wykonawca podaje materiał, grubość oraz lambdę/U.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AA03E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891240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F26B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0FD9F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materiałów kontenera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2A966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D8437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warunki atmosferyczne i intensywne użytkowanie mobilne. Doskonała izolacja termiczna oraz odporność na drgania skrętne ramy pojazdu.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0C42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22CE8D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F9B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2B78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Szczelność kontenera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972C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99CE0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pozycji zamkniętej – ochrona przed wodą i kurzem.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80B81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3FE4097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AD7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10191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Odporność na wiatr kontenera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9FE8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B362C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Konstrukcja odporna na działanie wiatru w pozycji otwartej.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0753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424B46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00808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5074B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 zabudowy z wyposażeniem stałym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99917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6ED3BB" w14:textId="2D5E1FC7" w:rsidR="00D37A65" w:rsidRDefault="00EE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EE5FF6">
              <w:rPr>
                <w:sz w:val="20"/>
                <w:szCs w:val="20"/>
              </w:rPr>
              <w:t xml:space="preserve">Łączna masa pojazdu gotowego do pracy w wariancie podstawowym (podwozie + zabudowa + wyposażenie stałe + paliwo w 75% zbiornika) nie może przekroczyć 3 200 kg. </w:t>
            </w:r>
            <w:r w:rsidRPr="00EE5FF6">
              <w:rPr>
                <w:sz w:val="20"/>
                <w:szCs w:val="20"/>
              </w:rPr>
              <w:lastRenderedPageBreak/>
              <w:t>Przy aktywacji opcji trwale zamontowanych — nie może przekroczyć 3 300 kg.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BD81A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44FCB40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296B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5.2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183FA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Wymiary zewnętrzne zabudowy</w:t>
            </w:r>
          </w:p>
        </w:tc>
      </w:tr>
      <w:tr w:rsidR="00D37A65" w14:paraId="7808622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355C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3107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Długość zewnętrzna kontenera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EF26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A960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4 200 mm – 4 700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CC32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E24590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AA2C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7E509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zewnętrzna kontenera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664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A3E2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2 250 mm – 2 350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3714C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6AD6A4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774A5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D204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zewnętrzna kontenera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7B118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5CB04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2 250 mm – 2 600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E26E4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79C5CB8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D28FB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5.3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DF53B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Wymiary wewnętrzne (użytkowe) kontenera</w:t>
            </w:r>
          </w:p>
        </w:tc>
      </w:tr>
      <w:tr w:rsidR="00D37A65" w14:paraId="126782B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9DB74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8C7CE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Długość wewnętrzna użytkowa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A166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D4749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4 100 mm - 4600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8967F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BC6700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0F9C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F1B10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Szerokość wewnętrzna użytkowa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258A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AFCE2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 2 100 mm - 2 350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8516B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1AF6CD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C4CA2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8C460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wewnętrzna przestrzeni roboczej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88C0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00B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2 100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52771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C41A5C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EE885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F2039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Nadkola kontenera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81A8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1EAA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Zabudowane i zintegrowane z układem meblowym.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84D73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185E0C0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0ED9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5.4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27020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Wysokość podłogi i wykończenie kontenera</w:t>
            </w:r>
          </w:p>
        </w:tc>
      </w:tr>
      <w:tr w:rsidR="00D37A65" w14:paraId="5DBFD63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0BD22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8B23E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podłogi zabudowy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ED0BB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E656AC" w14:textId="6D60B602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Maksymalnie 770 mm od poziomu podłoża do górnej krawędzi wykończonej podłogi </w:t>
            </w:r>
            <w:r>
              <w:rPr>
                <w:sz w:val="20"/>
                <w:szCs w:val="20"/>
              </w:rPr>
              <w:lastRenderedPageBreak/>
              <w:t>wewnątrz zabudowy.</w:t>
            </w:r>
            <w:r w:rsidR="0079054E">
              <w:rPr>
                <w:sz w:val="20"/>
                <w:szCs w:val="20"/>
              </w:rPr>
              <w:t xml:space="preserve"> </w:t>
            </w:r>
            <w:r w:rsidR="0079054E">
              <w:t>Pomiar wykonuje się przy pojeździe gotowym do pracy w wariancie podstawowym, bez załogi i ładunku operacyjnego, na płaskiej utwardzonej nawierzchni, przy ciśnieniu w ogumieniu zgodnym z zaleceniem producenta pojazdu bazowego. Wartość mierzona w najwyższym punkcie wykończonej powierzchni podłogi w strefie użytkowej.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97E88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FDAA47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8AA4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C906C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Wykończenie podłogi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169FA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F7471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Podłoga wykonana z wodoodpornej sklejki impregnowana, wykładzina przemysłowa PVC zgrzewana na łączeniach lub wykładzina certyfikowana o równoważnych właściwościach antypoślizgowych i wodoodpornych.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70438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CA1B53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E586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5.5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756C5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Czas rozkładania i składania zabudowy</w:t>
            </w:r>
          </w:p>
        </w:tc>
      </w:tr>
      <w:tr w:rsidR="00D37A65" w14:paraId="35176CD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728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1E1FD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przygotowania do pracy (1 osoba)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B869E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475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deklarowany czas [min] w ofercie. Weryfikacja przy odbiorze.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D7BA6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9C9039E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B769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57DEF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składania do pozycji transportowej (1 osoba)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12A1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D01BF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deklarowany czas [min] w ofercie. Weryfikacja przy odbiorze.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CE71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5C34F39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9C7D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8FD3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Klapa boczna i podest ekspozycyjny</w:t>
            </w:r>
          </w:p>
        </w:tc>
      </w:tr>
      <w:tr w:rsidR="00D37A65" w14:paraId="75DA75C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302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4EEB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Klapa boczna typ mechanizmu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A7D21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3354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Otwierana do góry siłownikami gazowymi z profilem ślimakowym mechanizmu dla </w:t>
            </w:r>
            <w:r>
              <w:rPr>
                <w:sz w:val="20"/>
                <w:szCs w:val="20"/>
              </w:rPr>
              <w:lastRenderedPageBreak/>
              <w:t>wydłużenia żywotności.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29EF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78335E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E6194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5AB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Długość klapy bocznej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6FBDC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D1964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3 000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7EE0C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1D76A5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B7842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55D6E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Funkcja zadaszenia klapy bocznej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2377F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BD791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pozycji otwartej klapa stanowi zadaszenie podestu – ochrona przed opadami i nasłonecznieniem.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DC7DE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A8CE50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6D6B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37AE7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klapy bocznej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2C7AA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6AEC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Oświetlenie LED </w:t>
            </w:r>
            <w:proofErr w:type="spellStart"/>
            <w:r>
              <w:rPr>
                <w:sz w:val="20"/>
                <w:szCs w:val="20"/>
              </w:rPr>
              <w:t>ambientowe</w:t>
            </w:r>
            <w:proofErr w:type="spellEnd"/>
            <w:r>
              <w:rPr>
                <w:sz w:val="20"/>
                <w:szCs w:val="20"/>
              </w:rPr>
              <w:t xml:space="preserve"> zintegrowane z klapą.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0D554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8C182B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3AF0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261F9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kurtyny ochronnej klapy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970B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A2C0F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Transparentne kurtyny lub panele boczne chroniące podest przed wiatrem, grubość min. 0,5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D1AC0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BD5354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C1E3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DD6B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Podest boczny – długość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63CE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0351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2 800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6989B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D219B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9D2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6.1.7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AB9D0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Podest boczny – głębokość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B3F5C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E7A94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1 500 mm od ściany pojazdu. Wykonawca podaje oferowaną wartość i wpływ na masę pojazdu [kg].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56038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CD4BF0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2AE1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6.1.8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4CC1C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Poszycie podestu bocznego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B2D5F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C678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Wykonane z wodoodpornej sklejki impregnowanej, obleczona wykładzina przemysłowa PVC zgrzewana na łączeniach lub wykładzina certyfikowana o równoważnych właściwościach antypoślizgowych i wodoodpornych.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94DD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0A12F7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70D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6.1.9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FFD2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Różnica poziomów podest–podłoga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3AA6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24AD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Maksymalnie 20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0F725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66E2AD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A5ED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6.1.10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9DAC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Nośność podestu bocznego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F7F8D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1337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250 kg/m².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DC9A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58C60E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D66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F956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Barierki podestu bocznego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412B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CE2C2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Składane lub </w:t>
            </w:r>
            <w:proofErr w:type="spellStart"/>
            <w:r>
              <w:rPr>
                <w:sz w:val="20"/>
                <w:szCs w:val="20"/>
              </w:rPr>
              <w:t>demontowalne</w:t>
            </w:r>
            <w:proofErr w:type="spellEnd"/>
            <w:r>
              <w:rPr>
                <w:sz w:val="20"/>
                <w:szCs w:val="20"/>
              </w:rPr>
              <w:t>, wysokość min. 900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80A6D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C5FE3F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6DD0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F0883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Podpory podestu bocznego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A678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718F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Chowane i składane wraz z podestem.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06866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A8C4BD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B8F81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132D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Schody podestu bocznego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BDC8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D34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Dostawiane, szerokość min. 600 mm, wyposażone w atestowane poręcze.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658AD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81BD9D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4693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8EF31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Rampa dla OOM podestu bocznego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01F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A6BDD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Składana aluminiowa rampa najazdowa, nośność min. 300 kg.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CBD2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A1C56B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5403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0BD3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podestu przez 1 osobę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BFDD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A08AE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Rozkładanie i składanie podestu możliwe przez jedną osobę.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FE9EB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176727E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731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6.1.16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6DFE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Minimalna wysokość podest-klapa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CE16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A10B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1 950 mm między rozłożonym podestem bocznym a klapą boczną.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A1062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DEAA80D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3219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FB90B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Tylna klapa i strefa wejścia</w:t>
            </w:r>
          </w:p>
        </w:tc>
      </w:tr>
      <w:tr w:rsidR="00D37A65" w14:paraId="0CCE6B1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3DB4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4AC0F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Klapa tylna parametry otworu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8F6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71BC3D" w14:textId="593B63B6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Otwierana do góry siłownikami gazowymi, tworząca zadaszenie strefy wejścia tylnego. Szerokość: min 1 500 mm, max zgodna z konstrukcją. Wysokość światła wejścia min. </w:t>
            </w:r>
            <w:r w:rsidR="00EE5FF6">
              <w:rPr>
                <w:sz w:val="20"/>
                <w:szCs w:val="20"/>
              </w:rPr>
              <w:t>2 000</w:t>
            </w:r>
            <w:r>
              <w:rPr>
                <w:sz w:val="20"/>
                <w:szCs w:val="20"/>
              </w:rPr>
              <w:t xml:space="preserve"> mm. Dolna krawędź otworu wejściowego </w:t>
            </w:r>
            <w:proofErr w:type="spellStart"/>
            <w:r>
              <w:rPr>
                <w:sz w:val="20"/>
                <w:szCs w:val="20"/>
              </w:rPr>
              <w:t>bezprogowa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4F3C7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831FC5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EC8A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94F8E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Stały stopień wejściowy tylny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1D72E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CE28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Umożliwiająca bezpieczne wejście do wnętrza od tyłu pojazdu. Powierzchnia antypoślizgowa.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05664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66A218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A9D5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5DE4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5] Składany blat obsługowy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18B6B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26D26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Składany blat obsługowy jako dodatkowe wyposażenie ruchome, przechowywane poza pojazdem. Montowany doraźnie przy tylnym wejściu jako lada obsługowa lub punkt </w:t>
            </w:r>
            <w:proofErr w:type="gramStart"/>
            <w:r>
              <w:rPr>
                <w:sz w:val="20"/>
                <w:szCs w:val="20"/>
              </w:rPr>
              <w:t>wydawania</w:t>
            </w:r>
            <w:proofErr w:type="gramEnd"/>
            <w:r>
              <w:rPr>
                <w:sz w:val="20"/>
                <w:szCs w:val="20"/>
              </w:rPr>
              <w:t xml:space="preserve"> gdy klapa boczna nie może być rozłożona. Nośność min. 30 kg. Mocowanie bez narzędzi.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3817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A0879E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94D81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6.3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33A07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Zabudowa meblowa i układ funkcjonalny kontenera</w:t>
            </w:r>
          </w:p>
        </w:tc>
      </w:tr>
      <w:tr w:rsidR="00D37A65" w14:paraId="77981CA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7FA4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C901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Materiał zabudowy stolarskiej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3B03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FD732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Lekka sklejka obustronnie laminowana (HPL) lub materiał równoważny o podobnych właściwościach (odporność na wilgoć, łatwość czyszczenia, niska masa). Zamki ryglowane typu „</w:t>
            </w:r>
            <w:proofErr w:type="spellStart"/>
            <w:r>
              <w:rPr>
                <w:sz w:val="20"/>
                <w:szCs w:val="20"/>
              </w:rPr>
              <w:t>push</w:t>
            </w:r>
            <w:proofErr w:type="spellEnd"/>
            <w:r>
              <w:rPr>
                <w:sz w:val="20"/>
                <w:szCs w:val="20"/>
              </w:rPr>
              <w:t>-lock” na wszystkich szafkach i schowkach. Wszystkie zamki otwierane kluczem wspólnym.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38AED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70DEFE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8F6B6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187F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Ściana meblowa za kabiną kierowcy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CDE7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45E01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Ściana meblowa prostopadła do osi pojazdu, bezpośrednio za kabiną kierowcy. Musi zawierać szuflady w liczbie od 4 do 12. Pozostała przestrzeń ściany meblowej – szafki zamknięte lub blat roboczy – do ustalenia na etapie projektu koncepcyjnego. W ścianie meblowej lub bezpośrednio przy niej musi zostać przewidziane miejsce na podgrzewacz wody oraz bezpieczne miejsce do przechowywania i ładowania systemów kolumnowych audio w trakcie jazdy (szafka lub wnęka ze sztywnymi pasami transportowymi i minimum podwójnym gniazdem 230 V). Opcjonalnie zlew i lodówka kompresorowa.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B25FB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37110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B857C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BC9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Strefa tylna – blat na nadkolu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400DC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5D3F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Blat roboczy na nadkolu w tylnej części kontenera. Wykonawca podaje wymiary i lokalizację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661B6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E37077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94C04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197B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Strefa tylna – szafka z </w:t>
            </w:r>
            <w:r>
              <w:rPr>
                <w:sz w:val="20"/>
                <w:szCs w:val="20"/>
              </w:rPr>
              <w:lastRenderedPageBreak/>
              <w:t>blatem pod telewizorem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45661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69BBA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Szafka zamknięta z blatem, zlokalizowana pod </w:t>
            </w:r>
            <w:r>
              <w:rPr>
                <w:sz w:val="20"/>
                <w:szCs w:val="20"/>
              </w:rPr>
              <w:lastRenderedPageBreak/>
              <w:t>uchwytem telewizora przy tylnej ścianie kontenera. Zintegrowana z instalacją elektryczną telewizora.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50937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78E41AA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2721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3DE6B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Strefa tylna – uchwyt telewizora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C927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F430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Uchwyt telewizora zamontowany nad nadkolem przy tylnej ścianie kontenera, umożliwiający bezpieczne mocowanie monitora na czas transportu. Kompatybilny z ekranem 65".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EDB03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1B9E2F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79F12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240E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szyn mocujących (</w:t>
            </w:r>
            <w:proofErr w:type="spellStart"/>
            <w:r>
              <w:rPr>
                <w:sz w:val="20"/>
                <w:szCs w:val="20"/>
              </w:rPr>
              <w:t>airline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474F3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B7A80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2 linie szyn typu </w:t>
            </w:r>
            <w:proofErr w:type="spellStart"/>
            <w:r>
              <w:rPr>
                <w:sz w:val="20"/>
                <w:szCs w:val="20"/>
              </w:rPr>
              <w:t>airline</w:t>
            </w:r>
            <w:proofErr w:type="spellEnd"/>
            <w:r>
              <w:rPr>
                <w:sz w:val="20"/>
                <w:szCs w:val="20"/>
              </w:rPr>
              <w:t xml:space="preserve"> wzdłuż całej długości kontenera po obu stronach.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52E3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8EA317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46184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6.3.7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1DDB6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 techniczna z dostępem serwisowym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775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D93E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Dedykowana szafka na urządzenia i instalacje (akumulatory, przetwornica, router, rozdzielnia elektryczna). Dostęp serwisowy bez demontażu pozostałego wyposażenia. Lokalizacja do ustalenia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4D635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2C1837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78891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6.3.8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30B9B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Minimalna szerokość ciągów komunikacyjnych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5139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2A3B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mm w każdym miejscu przestrzeni użytkowej niezależnie od przyjętego układu meblowego.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2F399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00EAB9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D40C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6.3.9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09DB6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 meblowy – projekt koncepcyjny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3293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BE3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Wykonawca przedstawia pełny rzut zabudowy z rozmieszczeniem elementów meblowych, podając konkretne wymiary każdego elementu i uzasadniając odstępstwa od koncepcji graficznej Zamawiającego. Projekt podlega pisemnej akceptacji przed przystąpieniem do </w:t>
            </w:r>
            <w:r>
              <w:rPr>
                <w:sz w:val="20"/>
                <w:szCs w:val="20"/>
              </w:rPr>
              <w:lastRenderedPageBreak/>
              <w:t>Etapu II.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4102A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2B3C727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87B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FFC1A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Osłona aerodynamiczna nad kabiną – przestrzeń magazynowa</w:t>
            </w:r>
          </w:p>
        </w:tc>
      </w:tr>
      <w:tr w:rsidR="00D37A65" w14:paraId="1CD33E1D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EC0D9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D14A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6] Osłona aerodynamiczna (spojler magazynowy)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0174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F9F99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Przestrzeń magazynowa w nadbudowie nad kabiną kierowcy, osłonięta spojlerem aerodynamicznym. Dostęp możliwy od wewnątrz kontenera, od wewnątrz kabiny kierowcy lub od zewnątrz pojazdu — Wykonawca proponuje rozwiązanie w projekcie koncepcyjnym. Kształt aerodynamiczny. Szczelna, zabezpieczona na czas transportu.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E957A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6779DD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029F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B6571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i masa spojlera magazynowego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381A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55A2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pojemność [l lub m³] i wpływ na masę całkowitą pojazdu [kg] w odniesieniu do opcji nr 6.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4D168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EFF940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BAEE5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55B4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paneli ekspozycyjnych i montażu zewnętrznego</w:t>
            </w:r>
          </w:p>
        </w:tc>
      </w:tr>
      <w:tr w:rsidR="00D37A65" w14:paraId="2C9B425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39E07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653BB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Infrastruktura zawiasów rozłącznych podstawowych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B12A2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AA32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Dwie pionowe linie zawiasów rozłącznych ze stali nierdzewnej, każda złożona z min. 4 sztuk zawiasów rozmieszczonych równomiernie od góry do dołu ściany, zamontowanych na stałych ścianach kontenera flankujących otwór klapy bocznej — ścianie od strony przodu pojazdu i ścianie od strony tyłu pojazdu. Przednia linia zawiasów stanowi jednocześnie tylny punkt mocowania poprzeczki VESA. Zawiasy montowane wyłącznie na stałych elementach konstrukcji — nie na ruchomej </w:t>
            </w:r>
            <w:r>
              <w:rPr>
                <w:sz w:val="20"/>
                <w:szCs w:val="20"/>
              </w:rPr>
              <w:lastRenderedPageBreak/>
              <w:t>klapie bocznej. Odporne na warunki atmosferyczne.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6D4FC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F0609C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4BE4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C5CE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Gęstość, uniwersalność i bezpieczeństwo systemu montażu zewnętrznego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5F7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5BE7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Rozmieszczenie zawiasów musi umożliwiać montaż paneli o różnych wymiarach (900×1 800 mm oraz 900×900 mm), w tym zawieszenie dwóch paneli pod sobą na tej samej linii. System musi umożliwiać jednoczesne i stabilne zawieszenie na jednej linii poprzeczki VESA z telewizorem 65" oraz panelu połowicznego (900×900 mm). Konstrukcja ścian kontenera oraz samych zawiasów musi uwzględniać sumaryczne obciążenie statyczne i dynamiczne wynikające z konfiguracji mieszanych oraz wpływ parcia wiatru na zamontowane elementy ekspozycyjne.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08432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E18920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B248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88A0D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Możliwość rozbudowy systemu montażu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E7F6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9F6C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musi umożliwiać jednoczesne i stabilne zawieszenie do dwóch paneli ekspozycyjnych pod sobą na każdej linii zawiasów WB, w tym konfiguracje przewidziane w prawach opcji.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3CBC8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66F39A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A614F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802B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4] Zawiasy rozłączne wzdłuż ściany przedniej przy szoferce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2283F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2D2B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Trzecia pionowa linia zawiasów rozłącznych ze stali nierdzewnej złożona z min. 4 sztuk rozmieszczonych równomiernie od góry do dołu ściany, zlokalizowana na ścianie kontenera od strony kabiny kierowcy, oddzielona od przedniej linii WB pasem min. </w:t>
            </w:r>
            <w:r>
              <w:rPr>
                <w:sz w:val="20"/>
                <w:szCs w:val="20"/>
              </w:rPr>
              <w:lastRenderedPageBreak/>
              <w:t xml:space="preserve">300 mm w kierunku kabiny. Służy wyłącznie jako przedni punkt mocowania poprzeczki VESA — </w:t>
            </w:r>
            <w:proofErr w:type="spellStart"/>
            <w:r>
              <w:rPr>
                <w:sz w:val="20"/>
                <w:szCs w:val="20"/>
              </w:rPr>
              <w:t>poprzczka</w:t>
            </w:r>
            <w:proofErr w:type="spellEnd"/>
            <w:r>
              <w:rPr>
                <w:sz w:val="20"/>
                <w:szCs w:val="20"/>
              </w:rPr>
              <w:t xml:space="preserve"> wisi między tą linią a przednią linią zawiasów WB na wybranej wysokości. Kompatybilna z systemem głównym.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F6B44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162A68D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045D9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6549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paneli w wariancie podstawowym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6852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1F348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sztuki – jeden montowany z przodu podestu bocznego, jeden z tyłu.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2EE70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E05923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C5E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DC17C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Wymiary panelu podstawowego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8833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28228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900×1 800 mm. Panel montowany w orientacji pionowej (900 szerokość × 1 800 wysokość).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C0518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D9C8C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C856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6.5.7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1F1E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Konstrukcja panelu podstawowego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9926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5658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Rama aluminiowa. Lico panelu wykonane z </w:t>
            </w:r>
            <w:proofErr w:type="spellStart"/>
            <w:r>
              <w:rPr>
                <w:sz w:val="20"/>
                <w:szCs w:val="20"/>
              </w:rPr>
              <w:t>dibondu</w:t>
            </w:r>
            <w:proofErr w:type="spellEnd"/>
            <w:r>
              <w:rPr>
                <w:sz w:val="20"/>
                <w:szCs w:val="20"/>
              </w:rPr>
              <w:t>, przystosowane do oklejania folią samoprzylepną i jej usuwania bez uszkodzenia powierzchni.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8E302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742028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F7F26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6.5.8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C16A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panelu do zawiasów podstawowy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9E54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0EE7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Panel wpinany w zawiasy rozłączne zamontowane na ścianach kontenera po obu bokach podestu bocznego. Montaż i demontaż bez użycia narzędzi.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1A34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87ACC9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68F6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6.5.9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B3285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Blokada panelu do ściany kontenera podstawowa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2025A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0E4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Panel w pozycji roboczej blokowany do ściany bocznej kontenera mechanizmem uniemożliwiającym samoczynne zamknięcie lub odchylenie pod wpływem wiatru i drgań. Blokada </w:t>
            </w:r>
            <w:proofErr w:type="spellStart"/>
            <w:r>
              <w:rPr>
                <w:sz w:val="20"/>
                <w:szCs w:val="20"/>
              </w:rPr>
              <w:t>zwalnialna</w:t>
            </w:r>
            <w:proofErr w:type="spellEnd"/>
            <w:r>
              <w:rPr>
                <w:sz w:val="20"/>
                <w:szCs w:val="20"/>
              </w:rPr>
              <w:t xml:space="preserve"> bez użycia narzędzi. Wykonawca proponuje rozwiązanie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62F5C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D4F01A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6E69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6.5.10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C9EC4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Przechowywanie panelów w transporcie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93D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3C009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Dedykowane uchwyty transportowe montowane do klapy tylnej lub podestu bocznego. Rozwiązanie nie może utrudniać otwierania klapy tylnej ani rozkładania podestu. Wykonawca proponuje system mocowania w projekcie koncepcyjnym.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EEEEE2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176236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FF74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2B16B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7] Poprzeczka z uchwytem VESA do montażu ekranu zewnętrznego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1341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C3947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Poprzeczka ze stali nierdzewnej montowana między dwoma zawiasami rozłącznymi, z zintegrowanym uchwytem montażowym zgodnym ze standardem VESA. Wzorce VESA: 200×200, 400×400 lub 600×400 mm. Wykonawca podaje udźwig poprzeczki i dostępne wzorce VESA. Ekran nie jest objęty tą opcją. Poprzeczka stanowi element niezbędny do montażu drugiego ekranu zewnętrznego (Opcja dodatkowa).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22E349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9D9EC7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386BD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D55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8] Dodatkowe panele pełnowymiarowe 900×1 800 mm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23114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B2B3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Zamawiający może dokupić od 2 do 6 dodatkowych panelów pełnowymiarowych. Wykonawca podaje cenę jednostkową za 1 panel.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957C9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A12014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50BC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6.5.13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64702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[OPCJA 9] Panele </w:t>
            </w:r>
            <w:proofErr w:type="spellStart"/>
            <w:r>
              <w:rPr>
                <w:sz w:val="20"/>
                <w:szCs w:val="20"/>
              </w:rPr>
              <w:t>połorzyczne</w:t>
            </w:r>
            <w:proofErr w:type="spellEnd"/>
            <w:r>
              <w:rPr>
                <w:sz w:val="20"/>
                <w:szCs w:val="20"/>
              </w:rPr>
              <w:t xml:space="preserve"> 900×900 mm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F606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935B1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Zamawiający może dokupić od 2 do 8. Panele o wymiarach 900×900 mm, kompatybilne z uniwersalnym systemem zawiasów określonym w pkt 6.5. Wykonawca podaje cenę jednostkową za 1 panel.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1B4AD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50C4E90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C6DF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7.1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77FC0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Bank energii i BMS</w:t>
            </w:r>
          </w:p>
        </w:tc>
      </w:tr>
      <w:tr w:rsidR="00D37A65" w14:paraId="3D78748A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EE92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B3DE0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Akumulatory LiFePO4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9906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6964A" w14:textId="4CA19D9C" w:rsidR="00D37A65" w:rsidRDefault="00C23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C23B37">
              <w:rPr>
                <w:sz w:val="20"/>
                <w:szCs w:val="20"/>
              </w:rPr>
              <w:t xml:space="preserve">Bank energii w technologii </w:t>
            </w:r>
            <w:proofErr w:type="spellStart"/>
            <w:r w:rsidRPr="00C23B37">
              <w:rPr>
                <w:sz w:val="20"/>
                <w:szCs w:val="20"/>
              </w:rPr>
              <w:t>litowo</w:t>
            </w:r>
            <w:proofErr w:type="spellEnd"/>
            <w:r w:rsidRPr="00C23B37">
              <w:rPr>
                <w:sz w:val="20"/>
                <w:szCs w:val="20"/>
              </w:rPr>
              <w:t xml:space="preserve">-żelazowo-fosforanowej (LiFePO4) z zintegrowanym BMS (zabezpieczenie przed przeładowaniem, nadmiernym rozładowaniem, przetężeniem i przegrzaniem) o parametrach: energia znamionowa min. 7 680 </w:t>
            </w:r>
            <w:proofErr w:type="spellStart"/>
            <w:r w:rsidRPr="00C23B37">
              <w:rPr>
                <w:sz w:val="20"/>
                <w:szCs w:val="20"/>
              </w:rPr>
              <w:t>Wh</w:t>
            </w:r>
            <w:proofErr w:type="spellEnd"/>
            <w:r w:rsidRPr="00C23B37">
              <w:rPr>
                <w:sz w:val="20"/>
                <w:szCs w:val="20"/>
              </w:rPr>
              <w:t xml:space="preserve">; energia użyteczna, mierzona po stronie stałoprądowej banku, min. 6 144 </w:t>
            </w:r>
            <w:proofErr w:type="spellStart"/>
            <w:r w:rsidRPr="00C23B37">
              <w:rPr>
                <w:sz w:val="20"/>
                <w:szCs w:val="20"/>
              </w:rPr>
              <w:t>Wh</w:t>
            </w:r>
            <w:proofErr w:type="spellEnd"/>
            <w:r w:rsidRPr="00C23B37">
              <w:rPr>
                <w:sz w:val="20"/>
                <w:szCs w:val="20"/>
              </w:rPr>
              <w:t xml:space="preserve"> przy </w:t>
            </w:r>
            <w:proofErr w:type="spellStart"/>
            <w:r w:rsidRPr="00C23B37">
              <w:rPr>
                <w:sz w:val="20"/>
                <w:szCs w:val="20"/>
              </w:rPr>
              <w:t>DoD</w:t>
            </w:r>
            <w:proofErr w:type="spellEnd"/>
            <w:r w:rsidRPr="00C23B37">
              <w:rPr>
                <w:sz w:val="20"/>
                <w:szCs w:val="20"/>
              </w:rPr>
              <w:t xml:space="preserve"> nie mniejszej niż 80 %; zdolność banku wraz z BMS do zasilania odbiorów 230 V mocą ciągłą min. 6 000 W </w:t>
            </w:r>
            <w:proofErr w:type="spellStart"/>
            <w:r w:rsidRPr="00C23B37">
              <w:rPr>
                <w:sz w:val="20"/>
                <w:szCs w:val="20"/>
              </w:rPr>
              <w:t>w</w:t>
            </w:r>
            <w:proofErr w:type="spellEnd"/>
            <w:r w:rsidRPr="00C23B37">
              <w:rPr>
                <w:sz w:val="20"/>
                <w:szCs w:val="20"/>
              </w:rPr>
              <w:t xml:space="preserve"> pracy wyspowej. Energię znamionową oblicza się jako iloczyn pojemności znamionowej [Ah] i napięcia nominalnego ogniw [V] (12,8 V, 25,6 V albo 51,2 V). Wartości równoważne: 600 Ah przy 12,8 V, 300 Ah przy 25,6 V, 150 Ah przy 51,2 V. Napięcie nominalne banku dobiera Wykonawca; przy napięciu 25,6 V albo 51,2 V Wykonawca zapewnia przetwornicę DC-DC dla obwodów 12 V. Schemat połączeń, bilans prądowy uwzględniający ograniczenia prądowe BMS oraz sposób trwałego mocowania banku Wykonawca przedstawia w Projekcie Koncepcyjnym (Etap I).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C075E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59F25B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BA68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CF6A9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Separacja elektryczna akumulatorów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8365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A40A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Akumulatory zabudowy bezwzględnie oddzielone od akumulatora rozruchowego </w:t>
            </w:r>
            <w:r>
              <w:rPr>
                <w:sz w:val="20"/>
                <w:szCs w:val="20"/>
              </w:rPr>
              <w:lastRenderedPageBreak/>
              <w:t>silnika. Zabezpieczenie uniemożliwiające rozładowanie akumulatora rozruchowego przez zabudowę.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DF7A0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B29F56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B3584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4ED0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Ładowanie akumulatorów podczas jazdy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9F7CC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82D68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instalacji pojazdu, z automatycznym zarządzaniem ładowaniem (kontrola napięcia i prądu).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DD8F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304381A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B7DFD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13CF4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Inwerter hybrydowy</w:t>
            </w:r>
          </w:p>
        </w:tc>
      </w:tr>
      <w:tr w:rsidR="00D37A65" w14:paraId="0C198BF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91EC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4E90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Inwerter hybrydowy parametry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01174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E60C6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 ciągła min. 6 000 W, pełny sinus. Instalacja z wyłącznikami nadprądowymi i RCD.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75B12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1F9DF64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1C67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7.3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CB514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Przyłącze zewnętrzne (</w:t>
            </w:r>
            <w:proofErr w:type="spellStart"/>
            <w:r>
              <w:rPr>
                <w:b/>
                <w:bCs/>
                <w:sz w:val="20"/>
                <w:szCs w:val="20"/>
              </w:rPr>
              <w:t>Shore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Power)</w:t>
            </w:r>
          </w:p>
        </w:tc>
      </w:tr>
      <w:tr w:rsidR="00D37A65" w14:paraId="2BDFFAE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FBEDE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E3547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Gniazdo zewnętrzne </w:t>
            </w:r>
            <w:proofErr w:type="spellStart"/>
            <w:r>
              <w:rPr>
                <w:sz w:val="20"/>
                <w:szCs w:val="20"/>
              </w:rPr>
              <w:t>Shore</w:t>
            </w:r>
            <w:proofErr w:type="spellEnd"/>
            <w:r>
              <w:rPr>
                <w:sz w:val="20"/>
                <w:szCs w:val="20"/>
              </w:rPr>
              <w:t xml:space="preserve"> Power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2C625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5D99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CEE 230 V z automatycznym przełącznikiem priorytetu prądu. Separator ładujący akumulator rozruchowy przy podłączeniu zabudowy do sieci.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39F10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10F499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A918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135E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pod agregat zewnętrzny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22467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6265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Wejście umożliwiające podłączenie przenośnego agregatu prądotwórczego (scenariusz kryzysowy).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2A7D2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9EB1F78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8475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7.4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A96DE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Dystrybucja energii</w:t>
            </w:r>
          </w:p>
        </w:tc>
      </w:tr>
      <w:tr w:rsidR="00D37A65" w14:paraId="051FE48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2340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7D66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Gniazda 230 V wewnętrzne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7EBD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B0054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 punktów w przestrzeni użytkowej.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8458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279D4A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8F918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CF74A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Porty USB-C (Power Delivery)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B583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33907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szybkie porty USB-C w strefie roboczej.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3918D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940C70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DF020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7.4.3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C87D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Tablica monitoringu elektrycznego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D485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112D2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Wyświetlacz LCD z bieżącymi parametrami: napięcie (V), natężenie (A), moc (W), poziom naładowania (%).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FEF66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344A00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215D8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0E883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Okablowanie wewnętrzne instalacji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8BB2D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57CEC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Kompletne przygotowanie okablowania pod ekran, nagłośnienie, oświetlenie i podgrzewacz wody.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A53DE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06CD5C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BB457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7.5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63DC4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Łączność internetowa</w:t>
            </w:r>
          </w:p>
        </w:tc>
      </w:tr>
      <w:tr w:rsidR="00D37A65" w14:paraId="1B5406A7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01316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D0A38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Router LTE/5G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1ED9A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07A1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Przemysłowy router z anteną dachową MIMO 4×4 i kartą SIM. Kluczowy element komunikacji kryzysowej. Kartę SIM zapewnia Zamawiający.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A8947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436358C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8FE6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84A8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Główny ekran wewnętrzny</w:t>
            </w:r>
          </w:p>
        </w:tc>
      </w:tr>
      <w:tr w:rsidR="00D37A65" w14:paraId="22933A0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B132F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FCC32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Ekran wewnętrzny 65" specyfikacja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D7D3C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E4A25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 profesjonalny 65", matryca IPS/VA do pracy ciągłej 24/7, jasność min. 800 cd/m², </w:t>
            </w:r>
            <w:proofErr w:type="spellStart"/>
            <w:r>
              <w:rPr>
                <w:sz w:val="20"/>
                <w:szCs w:val="20"/>
              </w:rPr>
              <w:t>Autoplay</w:t>
            </w:r>
            <w:proofErr w:type="spellEnd"/>
            <w:r>
              <w:rPr>
                <w:sz w:val="20"/>
                <w:szCs w:val="20"/>
              </w:rPr>
              <w:t xml:space="preserve"> USB, min. 3×HDMI, wbudowane głośniki. Zamontowany wewnątrz kontenera na regulowanym uchwycie ściennym umożliwiającym zmianę kąta i pozycji ekranu. Blokada transportowa zabezpieczająca ekran na czas jazdy. Model referencyjny: </w:t>
            </w:r>
            <w:proofErr w:type="spellStart"/>
            <w:r>
              <w:rPr>
                <w:sz w:val="20"/>
                <w:szCs w:val="20"/>
              </w:rPr>
              <w:t>iiyama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ProLite</w:t>
            </w:r>
            <w:proofErr w:type="spellEnd"/>
            <w:r>
              <w:rPr>
                <w:sz w:val="20"/>
                <w:szCs w:val="20"/>
              </w:rPr>
              <w:t xml:space="preserve"> LH6541UHS lub równoważny.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34685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599D04F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2509E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F914E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sygnału ekranu głównego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A451D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E470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Sygnał zewnętrzny (laptop, HDMI, USB) i lokalny. Możliwość wyświetlania różnych treści niezależnie.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374F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9DCDA3E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D95E9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0E6BF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Zabezpieczenie </w:t>
            </w:r>
            <w:r>
              <w:rPr>
                <w:sz w:val="20"/>
                <w:szCs w:val="20"/>
              </w:rPr>
              <w:lastRenderedPageBreak/>
              <w:t>transportowe ekranu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4FF9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1EEF9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czas jazdy.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DAE05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EBF43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AD73A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3AED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13] Drugi ekran 65" zewnętrzny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A47FE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CAE67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 profesjonalny 65", matryca IPS/VA do pracy ciągłej 24/7, jasność min. 800 cd/m², </w:t>
            </w:r>
            <w:proofErr w:type="spellStart"/>
            <w:r>
              <w:rPr>
                <w:sz w:val="20"/>
                <w:szCs w:val="20"/>
              </w:rPr>
              <w:t>Autoplay</w:t>
            </w:r>
            <w:proofErr w:type="spellEnd"/>
            <w:r>
              <w:rPr>
                <w:sz w:val="20"/>
                <w:szCs w:val="20"/>
              </w:rPr>
              <w:t xml:space="preserve"> USB, min. 3×HDMI, wbudowane głośniki. Montowany na poprzeczce VESA wpiętej w zawiasy rozłączne systemu z sekcji 6.5 — wyłącznie w pozycji zewnętrznej, skierowanej do odwiedzających po stronie podestu bocznego. Opcja wymaga zakupu poprzeczki VESA z sekcji 6.5. Blokada transportowa na czas jazdy. Model referencyjny: </w:t>
            </w:r>
            <w:proofErr w:type="spellStart"/>
            <w:r>
              <w:rPr>
                <w:sz w:val="20"/>
                <w:szCs w:val="20"/>
              </w:rPr>
              <w:t>iiyama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ProLite</w:t>
            </w:r>
            <w:proofErr w:type="spellEnd"/>
            <w:r>
              <w:rPr>
                <w:sz w:val="20"/>
                <w:szCs w:val="20"/>
              </w:rPr>
              <w:t xml:space="preserve"> LH6541UHS lub równoważny.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8CD6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177732C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04535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8.2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FF2D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nagłośnienia mobilnego (estradowego)</w:t>
            </w:r>
          </w:p>
        </w:tc>
      </w:tr>
      <w:tr w:rsidR="00D37A65" w14:paraId="13F11187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8A3C0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2E62C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Systemy kolumnowe – 1 szt.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8FBAE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02885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Przenośny aktywny (</w:t>
            </w:r>
            <w:proofErr w:type="spellStart"/>
            <w:r>
              <w:rPr>
                <w:sz w:val="20"/>
                <w:szCs w:val="20"/>
              </w:rPr>
              <w:t>subwoofer</w:t>
            </w:r>
            <w:proofErr w:type="spellEnd"/>
            <w:r>
              <w:rPr>
                <w:sz w:val="20"/>
                <w:szCs w:val="20"/>
              </w:rPr>
              <w:t xml:space="preserve"> + słupek liniowy). Wymagania: SPL max ≥ 122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  <w:r>
              <w:rPr>
                <w:sz w:val="20"/>
                <w:szCs w:val="20"/>
              </w:rPr>
              <w:t>, moc ≥ 1 200 W (</w:t>
            </w:r>
            <w:proofErr w:type="spellStart"/>
            <w:r>
              <w:rPr>
                <w:sz w:val="20"/>
                <w:szCs w:val="20"/>
              </w:rPr>
              <w:t>peak</w:t>
            </w:r>
            <w:proofErr w:type="spellEnd"/>
            <w:r>
              <w:rPr>
                <w:sz w:val="20"/>
                <w:szCs w:val="20"/>
              </w:rPr>
              <w:t xml:space="preserve">), mikser min. 5-kanałowy z DSP, </w:t>
            </w:r>
            <w:proofErr w:type="spellStart"/>
            <w:r>
              <w:rPr>
                <w:sz w:val="20"/>
                <w:szCs w:val="20"/>
              </w:rPr>
              <w:t>phantom</w:t>
            </w:r>
            <w:proofErr w:type="spellEnd"/>
            <w:r>
              <w:rPr>
                <w:sz w:val="20"/>
                <w:szCs w:val="20"/>
              </w:rPr>
              <w:t xml:space="preserve"> 48 V, Bluetooth + </w:t>
            </w:r>
            <w:proofErr w:type="spellStart"/>
            <w:r>
              <w:rPr>
                <w:sz w:val="20"/>
                <w:szCs w:val="20"/>
              </w:rPr>
              <w:t>app</w:t>
            </w:r>
            <w:proofErr w:type="spellEnd"/>
            <w:r>
              <w:rPr>
                <w:sz w:val="20"/>
                <w:szCs w:val="20"/>
              </w:rPr>
              <w:t>, zasilanie hybrydowe (230 V + akumulator ≥ 5 h), waga ≤ 25 kg/szt. Model referencyjny: JBL EON ONE MK2 lub równoważny.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42EB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9EE77B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A22D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5842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Mikrofony bezprzewodowe – 2 szt.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F4E29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A561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Doręczne</w:t>
            </w:r>
            <w:proofErr w:type="spellEnd"/>
            <w:r>
              <w:rPr>
                <w:sz w:val="20"/>
                <w:szCs w:val="20"/>
              </w:rPr>
              <w:t>, cyfrowy system UHF, zasięg min. 100 m, praca min. 12 h, wyjście XLR/</w:t>
            </w:r>
            <w:proofErr w:type="spellStart"/>
            <w:r>
              <w:rPr>
                <w:sz w:val="20"/>
                <w:szCs w:val="20"/>
              </w:rPr>
              <w:t>jack</w:t>
            </w:r>
            <w:proofErr w:type="spellEnd"/>
            <w:r>
              <w:rPr>
                <w:sz w:val="20"/>
                <w:szCs w:val="20"/>
              </w:rPr>
              <w:t xml:space="preserve">. Model referencyjny: </w:t>
            </w:r>
            <w:proofErr w:type="spellStart"/>
            <w:r>
              <w:rPr>
                <w:sz w:val="20"/>
                <w:szCs w:val="20"/>
              </w:rPr>
              <w:t>Sennheiser</w:t>
            </w:r>
            <w:proofErr w:type="spellEnd"/>
            <w:r>
              <w:rPr>
                <w:sz w:val="20"/>
                <w:szCs w:val="20"/>
              </w:rPr>
              <w:t xml:space="preserve"> EW-DP 835 SET lub równoważny.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9BB9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9E578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732B2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8.2.3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4B4D2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14] Druga kolumna głośnikowa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DCF1F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3C890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Druga sztuka systemu kolumnowego identyczna z kolumną z wariantu podstawowego (</w:t>
            </w:r>
            <w:proofErr w:type="spellStart"/>
            <w:r>
              <w:rPr>
                <w:sz w:val="20"/>
                <w:szCs w:val="20"/>
              </w:rPr>
              <w:t>subwoofer</w:t>
            </w:r>
            <w:proofErr w:type="spellEnd"/>
            <w:r>
              <w:rPr>
                <w:sz w:val="20"/>
                <w:szCs w:val="20"/>
              </w:rPr>
              <w:t xml:space="preserve"> + słupek liniowy, ref. JBL EON ONE MK2 lub równoważny).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61664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9FDFD7F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9017A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E7499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 ostrzegawczy – nagłośnienie dachowe</w:t>
            </w:r>
          </w:p>
        </w:tc>
      </w:tr>
      <w:tr w:rsidR="00D37A65" w14:paraId="4BA20C5E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F29EF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CA56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Głośniki tubowe dachowe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1AF5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909B7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 radiowęzłowy 100 V. Min. 2 hermetyczne głośniki tubowe na dachu, zintegrowane z żółtym oświetleniem ostrzegawczym. Skuteczność min. 110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  <w:r>
              <w:rPr>
                <w:sz w:val="20"/>
                <w:szCs w:val="20"/>
              </w:rPr>
              <w:t xml:space="preserve"> (1 m).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A8C53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3BDC23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15FF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8C780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Wzmacniacz i mikrofon dachowy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E6705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7005A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Wzmacniacz ze strefowym mikrofonem wewnątrz. Sterowanie z kabiny kierowcy i z systemu nagłośnienia.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96C2D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27EDA21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FB6F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AA90B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Oświetlenie zabudowy i otoczenia</w:t>
            </w:r>
          </w:p>
        </w:tc>
      </w:tr>
      <w:tr w:rsidR="00D37A65" w14:paraId="03E9DE7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831B6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BFEC9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robocze zewnętrzne 360°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E4BF2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8590D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Zewnętrzne panele LED na wszystkich 4 ścianach pojazdu. Moc każdego panelu min. 3 000 lm. Sterowanie niezależne dla każdej z 4 ścian.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12238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3D3B7C5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084EB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C0103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ogólne LED sufitowe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3A794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4C53B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 punktów, min. 2 000 lm/punkt, min. 500 lx, barwa ~4 000 K.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347E07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2CA954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3DE99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81F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ekspozycyjne kierunkowe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11C85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3F58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reflektory z regulacją kierunku, min. 2 000 lm, min. 700 lx w strefach ekspozycji.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3E3D8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0C76FED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E3BC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D74F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Oświetlenie LED </w:t>
            </w:r>
            <w:proofErr w:type="spellStart"/>
            <w:r>
              <w:rPr>
                <w:sz w:val="20"/>
                <w:szCs w:val="20"/>
              </w:rPr>
              <w:t>ambientowe</w:t>
            </w:r>
            <w:proofErr w:type="spellEnd"/>
            <w:r>
              <w:rPr>
                <w:sz w:val="20"/>
                <w:szCs w:val="20"/>
              </w:rPr>
              <w:t xml:space="preserve"> klapy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B2FC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5565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Zintegrowane z klapą boczną.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3E080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7DACB9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1DC07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6CBE3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Oświetlenie drzwi tylnych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CB086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0EDE0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 punkty.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69186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F4768BA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035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014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Niezależne obwody oświetlenia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AEB55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705BD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3 niezależne obwody: ogólne / ekspozycyjne / </w:t>
            </w:r>
            <w:proofErr w:type="spellStart"/>
            <w:r>
              <w:rPr>
                <w:sz w:val="20"/>
                <w:szCs w:val="20"/>
              </w:rPr>
              <w:t>ambientowe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813E8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FBB11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89723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9.1.7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EEE5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Panel sterowania oświetleniem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D6B5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FE317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możliwością regulacji natężenia.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D6C9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0E4C432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C51D1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FABB0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Ogrzewanie i klimatyzacja postojowa</w:t>
            </w:r>
          </w:p>
        </w:tc>
      </w:tr>
      <w:tr w:rsidR="00D37A65" w14:paraId="4205CBAA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4779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853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Ogrzewanie niezależne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46B33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569E5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olej napędowy, moc min. 8 </w:t>
            </w:r>
            <w:proofErr w:type="spellStart"/>
            <w:r>
              <w:rPr>
                <w:sz w:val="20"/>
                <w:szCs w:val="20"/>
              </w:rPr>
              <w:t>kW.</w:t>
            </w:r>
            <w:proofErr w:type="spellEnd"/>
            <w:r>
              <w:rPr>
                <w:sz w:val="20"/>
                <w:szCs w:val="20"/>
              </w:rPr>
              <w:t xml:space="preserve"> Kanałowe z równomiernym rozprowadzenie ciepła w całej przestrzeni użytkowej oraz wyprofilowaniem nadmuchu jako kurtyna powietrzna przy otwartej klapie bocznej. Praca bez uruchomionego silnika.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0593DA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0B23729B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631EC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A1D42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Sterowanie ogrzewaniem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5588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59118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Dostępne dla użytkownika.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0197A5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F55A1A7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F059B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AF485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15] Klimatyzacja przestrzeni użytkowej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769FD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F1FC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proponuje rozwiązanie i podaje wpływ na DMC.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D3B86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D96C873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76EE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10.2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D5F7F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Gospodarka wodna i gastronomia</w:t>
            </w:r>
          </w:p>
        </w:tc>
      </w:tr>
      <w:tr w:rsidR="00D37A65" w14:paraId="60F0B703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4B8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6C316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Zbiornik na wodę czystą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F4BC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FBD11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40 l, zintegrowany z zabudową. Możliwość podłączenia do zewnętrznego </w:t>
            </w:r>
            <w:r>
              <w:rPr>
                <w:sz w:val="20"/>
                <w:szCs w:val="20"/>
              </w:rPr>
              <w:lastRenderedPageBreak/>
              <w:t>źródła wody.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11C2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CBE3658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A9E18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3EDAE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Zbiornik na wodę szarą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60B35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D389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 l, zintegrowany z zabudową.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10233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DD8A54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37A34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8109A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Pompa ciśnieniowa wody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5B4FF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176E7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Membranowa, bezpośrednio współpracująca z warnikiem.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F61D8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A7D723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48923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1D4B0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Warnik przepływowy (HORECA)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D319B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F40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 stali nierdzewnej, zgodny z HACCP. Pojemność min. 10 l, wydajność min. 35 l/h, zasilanie 230 V/50 </w:t>
            </w:r>
            <w:proofErr w:type="spellStart"/>
            <w:r>
              <w:rPr>
                <w:sz w:val="20"/>
                <w:szCs w:val="20"/>
              </w:rPr>
              <w:t>Hz</w:t>
            </w:r>
            <w:proofErr w:type="spellEnd"/>
            <w:r>
              <w:rPr>
                <w:sz w:val="20"/>
                <w:szCs w:val="20"/>
              </w:rPr>
              <w:t>, moc min. 2 500 W. Automatyczne napełnianie z wewnętrznego zbiornika za pomocą pompy. Zabezpieczenie przed przegrzaniem i pracą na sucho. Wymiary maks.: 260×400×650 mm.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9FBF5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BBBB35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42FA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F4FAE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16] Zlew jednokomorowy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B271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7AB2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 stali nierdzewnej, wpuszczany w blat, przykrywany demontowaną klapą. Pełne wpięcie w system pomp. Zbiornik na wodę brudną min. 20 l.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DC913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D6ACF1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DCBC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10.2.6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2E7E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[OPCJA 17] Lodówka kompresorowa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C9F86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4AD75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Zasilana 12 V/230 V, pojemność min. 20 l, wbudowana i wentylowana w szafce. Wycenić osobno.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330C46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754B2F4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969FE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81743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Oznakowanie i </w:t>
            </w:r>
            <w:proofErr w:type="spellStart"/>
            <w:r>
              <w:rPr>
                <w:b/>
                <w:bCs/>
                <w:sz w:val="20"/>
                <w:szCs w:val="20"/>
              </w:rPr>
              <w:t>branding</w:t>
            </w:r>
            <w:proofErr w:type="spellEnd"/>
          </w:p>
        </w:tc>
      </w:tr>
      <w:tr w:rsidR="00D37A65" w14:paraId="02A5D537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622B5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253CE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Oklejenie zewnętrzne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9E991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6447D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Całkowite oklejenie zabudowy folią wylewaną z laminatem UV, Full </w:t>
            </w:r>
            <w:proofErr w:type="spellStart"/>
            <w:r>
              <w:rPr>
                <w:sz w:val="20"/>
                <w:szCs w:val="20"/>
              </w:rPr>
              <w:t>Color</w:t>
            </w:r>
            <w:proofErr w:type="spellEnd"/>
            <w:r>
              <w:rPr>
                <w:sz w:val="20"/>
                <w:szCs w:val="20"/>
              </w:rPr>
              <w:t>, według projektu graficznego Zamawiającego. Zakres: zabudowa + szoferka.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251BBC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9F9371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F1514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C7263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Odporność materiałów </w:t>
            </w:r>
            <w:proofErr w:type="spellStart"/>
            <w:r>
              <w:rPr>
                <w:sz w:val="20"/>
                <w:szCs w:val="20"/>
              </w:rPr>
              <w:t>brandingu</w:t>
            </w:r>
            <w:proofErr w:type="spellEnd"/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13247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6BB4F1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UV, warunki atmosferyczne i uszkodzenia mechaniczne.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0939B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426D1E0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C2697C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557983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Branding</w:t>
            </w:r>
            <w:proofErr w:type="spellEnd"/>
            <w:r>
              <w:rPr>
                <w:sz w:val="20"/>
                <w:szCs w:val="20"/>
              </w:rPr>
              <w:t xml:space="preserve"> wewnętrzny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36AA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BFA79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Elementy </w:t>
            </w:r>
            <w:proofErr w:type="spellStart"/>
            <w:r>
              <w:rPr>
                <w:sz w:val="20"/>
                <w:szCs w:val="20"/>
              </w:rPr>
              <w:t>brandingowe</w:t>
            </w:r>
            <w:proofErr w:type="spellEnd"/>
            <w:r>
              <w:rPr>
                <w:sz w:val="20"/>
                <w:szCs w:val="20"/>
              </w:rPr>
              <w:t xml:space="preserve"> wewnątrz zabudowy zgodne z projektem Zamawiającego.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D2FBD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02B6E9E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24FCF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14.1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0A033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Gwarancja i serwis</w:t>
            </w:r>
          </w:p>
        </w:tc>
      </w:tr>
      <w:tr w:rsidR="00D37A65" w14:paraId="7E0E7107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3F581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229E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na zabudowę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39C125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B3B0F6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24 miesiące od daty odbioru końcowego. Realizowana bezpośrednio u Wykonawcy zabudowy.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8A568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61BAC0D6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13091D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5162D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na podwozie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49D2F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WM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2FD135" w14:textId="25996759" w:rsidR="00D37A65" w:rsidRDefault="003A6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3A677E">
              <w:rPr>
                <w:sz w:val="20"/>
                <w:szCs w:val="20"/>
              </w:rPr>
              <w:t>Gwarancja producenta pojazdu bazowego: min. 24 miesiące lub 100 000 km (w zależności od tego, co nastąpi wcześniej). Naprawy gwarancyjne w ASO producenta na terenie Polski.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79B8FF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3D77CA74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84C66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14.1.3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BC5682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reakcji serwisowej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4F5AB8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58261A" w14:textId="4A84CA67" w:rsidR="00D37A65" w:rsidRPr="0048511F" w:rsidRDefault="0085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 w:rsidRPr="0048511F">
              <w:rPr>
                <w:sz w:val="20"/>
                <w:szCs w:val="20"/>
              </w:rPr>
              <w:t>Czas reakcji: do 2 dni roboczych, Czas usunięcia usterki: do 10 dni roboczych.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BA8471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5AE9F70E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224B30" w14:textId="6C3782F2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</w:t>
            </w:r>
            <w:r w:rsidR="0001618E">
              <w:rPr>
                <w:sz w:val="20"/>
                <w:szCs w:val="20"/>
              </w:rPr>
              <w:t>4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AB693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Dostępność części zamiennych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F0820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BA1E7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podaje szacowany okres dostępności części do zabudowy.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2F8AB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2164BE92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B7CD18" w14:textId="37D86D89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</w:t>
            </w:r>
            <w:r w:rsidR="0001618E">
              <w:rPr>
                <w:sz w:val="20"/>
                <w:szCs w:val="20"/>
              </w:rPr>
              <w:t>5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43F8F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Szkolenie operatorów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3277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FE1D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godziny w siedzibie Zamawiającego lub miejscu przez niego wskazanym.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1A1B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7CF5DA92" w14:textId="77777777" w:rsidTr="00C23B37">
        <w:tc>
          <w:tcPr>
            <w:tcW w:w="91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EFB48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14.3</w:t>
            </w:r>
          </w:p>
        </w:tc>
        <w:tc>
          <w:tcPr>
            <w:tcW w:w="13124" w:type="dxa"/>
            <w:gridSpan w:val="4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ECFEBF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Dokumentacja powykonawcza</w:t>
            </w:r>
          </w:p>
        </w:tc>
      </w:tr>
      <w:tr w:rsidR="00D37A65" w14:paraId="22D6F4DC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CF1689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14.3.1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07D94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Dokumentacja techniczna powykonawcza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E81B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C21E7E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Pełne schematy instalacji elektrycznej (230 V i 12/24 V) z protokołami pomiarów RCD, atesty zabudowy, certyfikaty wagowe (dokładna masa </w:t>
            </w:r>
            <w:r>
              <w:rPr>
                <w:sz w:val="20"/>
                <w:szCs w:val="20"/>
              </w:rPr>
              <w:lastRenderedPageBreak/>
              <w:t>gotowego pojazdu).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8B4A4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37A65" w14:paraId="16E274C1" w14:textId="77777777" w:rsidTr="00C23B37">
        <w:tc>
          <w:tcPr>
            <w:tcW w:w="91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7C6A60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14.3.2</w:t>
            </w:r>
          </w:p>
        </w:tc>
        <w:tc>
          <w:tcPr>
            <w:tcW w:w="239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099F2B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rejestracyjne pojazdu specjalnego</w:t>
            </w:r>
          </w:p>
        </w:tc>
        <w:tc>
          <w:tcPr>
            <w:tcW w:w="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C1A9A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WB</w:t>
            </w:r>
          </w:p>
        </w:tc>
        <w:tc>
          <w:tcPr>
            <w:tcW w:w="43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054197" w14:textId="77777777" w:rsidR="00D37A6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 dokumentów umożliwiających pierwszą rejestrację pojazdu w Polsce: homologacja / dopuszczenie jednostkowe, faktura sprzedaży, certyfikat </w:t>
            </w:r>
            <w:proofErr w:type="spellStart"/>
            <w:r>
              <w:rPr>
                <w:sz w:val="20"/>
                <w:szCs w:val="20"/>
              </w:rPr>
              <w:t>zabudowcy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B207D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A5E0D1" w14:textId="77777777" w:rsidR="00D37A65" w:rsidRDefault="00D37A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37A65" w14:paraId="60C2D7E2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E5717" w14:textId="64A603FB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1689E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  <w:p w14:paraId="5794A7DA" w14:textId="77777777" w:rsidR="00DD7F2D" w:rsidRDefault="00D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  <w:p w14:paraId="5BC4537F" w14:textId="77777777" w:rsidR="00DD7F2D" w:rsidRDefault="00D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  <w:p w14:paraId="51EF34A1" w14:textId="4FF3942B" w:rsidR="00DD7F2D" w:rsidRDefault="00D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555555"/>
                <w:sz w:val="18"/>
                <w:szCs w:val="18"/>
              </w:rPr>
            </w:pPr>
          </w:p>
        </w:tc>
      </w:tr>
    </w:tbl>
    <w:tbl>
      <w:tblPr>
        <w:tblStyle w:val="a0"/>
        <w:tblW w:w="5000" w:type="pct"/>
        <w:tblInd w:w="0" w:type="dxa"/>
        <w:tblLook w:val="04A0" w:firstRow="1" w:lastRow="0" w:firstColumn="1" w:lastColumn="0" w:noHBand="0" w:noVBand="1"/>
      </w:tblPr>
      <w:tblGrid>
        <w:gridCol w:w="4567"/>
        <w:gridCol w:w="4713"/>
        <w:gridCol w:w="3680"/>
      </w:tblGrid>
      <w:tr w:rsidR="00DD7F2D" w14:paraId="2B76F45E" w14:textId="77777777" w:rsidTr="00DD7F2D">
        <w:tc>
          <w:tcPr>
            <w:tcW w:w="1774" w:type="pct"/>
            <w:hideMark/>
          </w:tcPr>
          <w:p w14:paraId="19A8ED3D" w14:textId="77777777" w:rsidR="00DD7F2D" w:rsidRDefault="00DD7F2D" w:rsidP="00B92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  <w:tc>
          <w:tcPr>
            <w:tcW w:w="1830" w:type="pct"/>
            <w:hideMark/>
          </w:tcPr>
          <w:p w14:paraId="00A20638" w14:textId="77777777" w:rsidR="00DD7F2D" w:rsidRDefault="00DD7F2D" w:rsidP="00B92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1396" w:type="pct"/>
            <w:hideMark/>
          </w:tcPr>
          <w:p w14:paraId="62D549A4" w14:textId="77777777" w:rsidR="00DD7F2D" w:rsidRDefault="00DD7F2D" w:rsidP="00B92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</w:tr>
      <w:tr w:rsidR="00DD7F2D" w14:paraId="27CB13BF" w14:textId="77777777" w:rsidTr="00DD7F2D">
        <w:trPr>
          <w:trHeight w:val="16"/>
        </w:trPr>
        <w:tc>
          <w:tcPr>
            <w:tcW w:w="1774" w:type="pct"/>
            <w:hideMark/>
          </w:tcPr>
          <w:p w14:paraId="0D898CA6" w14:textId="77777777" w:rsidR="00DD7F2D" w:rsidRDefault="00DD7F2D" w:rsidP="00B9210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/miejscowość/</w:t>
            </w:r>
          </w:p>
        </w:tc>
        <w:tc>
          <w:tcPr>
            <w:tcW w:w="1830" w:type="pct"/>
            <w:hideMark/>
          </w:tcPr>
          <w:p w14:paraId="70E56F41" w14:textId="77777777" w:rsidR="00DD7F2D" w:rsidRDefault="00DD7F2D" w:rsidP="00B9210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/data/</w:t>
            </w:r>
          </w:p>
        </w:tc>
        <w:tc>
          <w:tcPr>
            <w:tcW w:w="1396" w:type="pct"/>
            <w:hideMark/>
          </w:tcPr>
          <w:p w14:paraId="2CE9FE3C" w14:textId="77777777" w:rsidR="00DD7F2D" w:rsidRDefault="00DD7F2D" w:rsidP="00B92107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/czytelny podpis lub podpis z pieczęcią imienną osoby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br/>
              <w:t>(osób) uprawnionych do reprezentowania Wykonawcy/</w:t>
            </w:r>
          </w:p>
        </w:tc>
      </w:tr>
    </w:tbl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37A65" w14:paraId="0B4641CE" w14:textId="7777777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0D950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FD8E3B" w14:textId="77777777" w:rsidR="00D37A65" w:rsidRDefault="00D37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</w:tr>
    </w:tbl>
    <w:p w14:paraId="2157438B" w14:textId="77777777" w:rsidR="00D37A65" w:rsidRDefault="00D37A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555555"/>
          <w:sz w:val="18"/>
          <w:szCs w:val="18"/>
        </w:rPr>
      </w:pPr>
    </w:p>
    <w:sectPr w:rsidR="00D37A65">
      <w:footerReference w:type="default" r:id="rId6"/>
      <w:pgSz w:w="15840" w:h="12240" w:orient="landscape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EC0E00" w14:textId="77777777" w:rsidR="0040094D" w:rsidRDefault="0040094D" w:rsidP="00AC749A">
      <w:r>
        <w:separator/>
      </w:r>
    </w:p>
  </w:endnote>
  <w:endnote w:type="continuationSeparator" w:id="0">
    <w:p w14:paraId="7357B146" w14:textId="77777777" w:rsidR="0040094D" w:rsidRDefault="0040094D" w:rsidP="00AC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7537333-A8C7-3549-93A8-8C586F0EE62D}"/>
    <w:embedBold r:id="rId2" w:fontKey="{8F68E81A-57AA-6B45-929A-8652567629EB}"/>
    <w:embedItalic r:id="rId3" w:fontKey="{D20FD8DA-D249-EA44-909B-9AFB87A36E1F}"/>
    <w:embedBoldItalic r:id="rId4" w:fontKey="{A5960423-690A-4D47-8D1E-38146DCA06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0956A6F-44B8-AB40-8513-FFD7ABC90C42}"/>
    <w:embedItalic r:id="rId6" w:fontKey="{73468C90-ED61-D641-AC47-9DF2A1CDD6D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BC2C8363-E02A-6147-BDAB-4D4E7EB81A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66FF43A5-3280-8B4D-B70A-7307872A302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9EED5418-590C-D142-8047-0DF9F533EE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9103837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EA3FC3B" w14:textId="35F31D22" w:rsidR="00AC749A" w:rsidRPr="00AC749A" w:rsidRDefault="00AC749A">
        <w:pPr>
          <w:pStyle w:val="Stopka"/>
          <w:jc w:val="right"/>
          <w:rPr>
            <w:rFonts w:eastAsiaTheme="majorEastAsia"/>
            <w:sz w:val="18"/>
            <w:szCs w:val="18"/>
          </w:rPr>
        </w:pPr>
        <w:r w:rsidRPr="00AC749A">
          <w:rPr>
            <w:rFonts w:eastAsiaTheme="majorEastAsia"/>
            <w:sz w:val="18"/>
            <w:szCs w:val="18"/>
          </w:rPr>
          <w:t xml:space="preserve">str. </w:t>
        </w:r>
        <w:r w:rsidRPr="00AC749A">
          <w:rPr>
            <w:rFonts w:eastAsiaTheme="minorEastAsia"/>
            <w:sz w:val="18"/>
            <w:szCs w:val="18"/>
          </w:rPr>
          <w:fldChar w:fldCharType="begin"/>
        </w:r>
        <w:r w:rsidRPr="00AC749A">
          <w:rPr>
            <w:sz w:val="18"/>
            <w:szCs w:val="18"/>
          </w:rPr>
          <w:instrText>PAGE    \* MERGEFORMAT</w:instrText>
        </w:r>
        <w:r w:rsidRPr="00AC749A">
          <w:rPr>
            <w:rFonts w:eastAsiaTheme="minorEastAsia"/>
            <w:sz w:val="18"/>
            <w:szCs w:val="18"/>
          </w:rPr>
          <w:fldChar w:fldCharType="separate"/>
        </w:r>
        <w:r w:rsidRPr="00AC749A">
          <w:rPr>
            <w:rFonts w:eastAsiaTheme="majorEastAsia"/>
            <w:sz w:val="18"/>
            <w:szCs w:val="18"/>
          </w:rPr>
          <w:t>2</w:t>
        </w:r>
        <w:r w:rsidRPr="00AC749A">
          <w:rPr>
            <w:rFonts w:eastAsiaTheme="majorEastAsia"/>
            <w:sz w:val="18"/>
            <w:szCs w:val="18"/>
          </w:rPr>
          <w:fldChar w:fldCharType="end"/>
        </w:r>
      </w:p>
    </w:sdtContent>
  </w:sdt>
  <w:p w14:paraId="2CE9BCF3" w14:textId="77777777" w:rsidR="00AC749A" w:rsidRDefault="00AC74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069E85" w14:textId="77777777" w:rsidR="0040094D" w:rsidRDefault="0040094D" w:rsidP="00AC749A">
      <w:r>
        <w:separator/>
      </w:r>
    </w:p>
  </w:footnote>
  <w:footnote w:type="continuationSeparator" w:id="0">
    <w:p w14:paraId="1628BAEA" w14:textId="77777777" w:rsidR="0040094D" w:rsidRDefault="0040094D" w:rsidP="00AC749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65"/>
    <w:rsid w:val="0001618E"/>
    <w:rsid w:val="00032C7A"/>
    <w:rsid w:val="00054C12"/>
    <w:rsid w:val="00056899"/>
    <w:rsid w:val="00183B5F"/>
    <w:rsid w:val="001C0F9D"/>
    <w:rsid w:val="00250B9B"/>
    <w:rsid w:val="002650E6"/>
    <w:rsid w:val="002E5349"/>
    <w:rsid w:val="00385AE6"/>
    <w:rsid w:val="003A677E"/>
    <w:rsid w:val="0040094D"/>
    <w:rsid w:val="00403667"/>
    <w:rsid w:val="0048511F"/>
    <w:rsid w:val="004A245F"/>
    <w:rsid w:val="00603FFC"/>
    <w:rsid w:val="0068785E"/>
    <w:rsid w:val="0079054E"/>
    <w:rsid w:val="00817986"/>
    <w:rsid w:val="008574D9"/>
    <w:rsid w:val="008D12EB"/>
    <w:rsid w:val="008F4894"/>
    <w:rsid w:val="00910BD4"/>
    <w:rsid w:val="00950F4B"/>
    <w:rsid w:val="0096011E"/>
    <w:rsid w:val="009A75D2"/>
    <w:rsid w:val="009D4F2F"/>
    <w:rsid w:val="00AC34D6"/>
    <w:rsid w:val="00AC749A"/>
    <w:rsid w:val="00AE325F"/>
    <w:rsid w:val="00BD0FEB"/>
    <w:rsid w:val="00C23B37"/>
    <w:rsid w:val="00C40193"/>
    <w:rsid w:val="00D37A65"/>
    <w:rsid w:val="00DD7F2D"/>
    <w:rsid w:val="00E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44A3"/>
  <w15:docId w15:val="{F2CDF0BD-AF05-44C4-9594-C2EA803E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AC74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49A"/>
  </w:style>
  <w:style w:type="paragraph" w:styleId="Stopka">
    <w:name w:val="footer"/>
    <w:basedOn w:val="Normalny"/>
    <w:link w:val="StopkaZnak"/>
    <w:uiPriority w:val="99"/>
    <w:unhideWhenUsed/>
    <w:rsid w:val="00AC74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4002</Words>
  <Characters>24016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Przemysław Wronecki</cp:lastModifiedBy>
  <cp:revision>3</cp:revision>
  <dcterms:created xsi:type="dcterms:W3CDTF">2026-08-05T06:10:00Z</dcterms:created>
  <dcterms:modified xsi:type="dcterms:W3CDTF">2026-08-05T07:32:00Z</dcterms:modified>
</cp:coreProperties>
</file>